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8E481" w14:textId="0BD2D5E7" w:rsidR="007F2150" w:rsidRDefault="007F2150" w:rsidP="00271878">
      <w:pPr>
        <w:pStyle w:val="Titolo"/>
        <w:spacing w:line="192" w:lineRule="auto"/>
        <w:jc w:val="center"/>
      </w:pPr>
      <w:r>
        <w:t>Il diritto internazionale</w:t>
      </w:r>
      <w:r>
        <w:br/>
        <w:t>come argine alla legge del più forte</w:t>
      </w:r>
    </w:p>
    <w:p w14:paraId="3CD32FA9" w14:textId="0DF7483A" w:rsidR="007F2150" w:rsidRDefault="007F2150" w:rsidP="007F2150">
      <w:pPr>
        <w:pStyle w:val="Sottotitolo"/>
        <w:jc w:val="center"/>
      </w:pPr>
      <w:r>
        <w:t>Sintesi dell’intervento di Fausto Gianelli</w:t>
      </w:r>
    </w:p>
    <w:p w14:paraId="5DD79E78" w14:textId="5CE975B9" w:rsidR="007F2150" w:rsidRPr="007F2150" w:rsidRDefault="007F2150" w:rsidP="007F2150">
      <w:pPr>
        <w:pStyle w:val="Titolo1"/>
      </w:pPr>
      <w:r w:rsidRPr="007F2150">
        <w:t>1. Le origini della Pace, il significato delle parole e l</w:t>
      </w:r>
      <w:r>
        <w:t>’</w:t>
      </w:r>
      <w:r w:rsidRPr="007F2150">
        <w:t>Articolo 11</w:t>
      </w:r>
    </w:p>
    <w:p w14:paraId="4B750540" w14:textId="6BBE02BB" w:rsidR="007F2150" w:rsidRDefault="007F2150" w:rsidP="007F2150">
      <w:r>
        <w:t>Gianelli esordisce sottolineando come la pace non sia mai stata una condizione naturale o scontata nella storia dell’umanità, ma una conquista nata dal trauma delle guerre mondiali. La Carta delle Nazioni Unite (1945) non nasce per regolare i commerci, ma per «preservare le future generazioni dal flagello della guerra». Il termine “flagello” evoca l’idea biblica di devastazione totale, concetto ben chiaro a una generazione uscita da due conflitti mondiali.</w:t>
      </w:r>
    </w:p>
    <w:p w14:paraId="63574CE0" w14:textId="7ED02B0E" w:rsidR="007F2150" w:rsidRDefault="007F2150" w:rsidP="007F2150">
      <w:r>
        <w:t>Oggi, tuttavia, assistiamo a una normalizzazione del linguaggio bellico. Gianelli cita le recenti dichiarazioni dei capi di stato maggiore britannico e francese, che hanno invitato i cittadini a prepararsi all’idea di dover combattere e morire in guerra, un linguaggio che sembrava bandito dal 1945. Le parole, infatti, plasmano il pensiero e rendono la guerra nuovamente “pensabile” e accettabile.</w:t>
      </w:r>
    </w:p>
    <w:p w14:paraId="0AE6FC31" w14:textId="1B2D1E07" w:rsidR="007F2150" w:rsidRDefault="007F2150" w:rsidP="007F2150">
      <w:r>
        <w:t>A questo si contrappone l’</w:t>
      </w:r>
      <w:r w:rsidRPr="00AC7ED0">
        <w:rPr>
          <w:b/>
          <w:bCs/>
        </w:rPr>
        <w:t>Articolo 11 della Costituzione Italiana</w:t>
      </w:r>
      <w:r>
        <w:t xml:space="preserve">: </w:t>
      </w:r>
      <w:r w:rsidRPr="00AC7ED0">
        <w:rPr>
          <w:i/>
          <w:iCs/>
        </w:rPr>
        <w:t>«L’Italia ripudia la guerra»</w:t>
      </w:r>
      <w:r>
        <w:t xml:space="preserve">. Gianelli si sofferma sull’etimologia e sulla forza del verbo </w:t>
      </w:r>
      <w:r w:rsidR="00AC7ED0">
        <w:t>“</w:t>
      </w:r>
      <w:r>
        <w:t xml:space="preserve">ripudiare”. Ripudiare non significa semplicemente “condannare” o “non fare”, ma </w:t>
      </w:r>
      <w:r w:rsidRPr="00AC7ED0">
        <w:rPr>
          <w:i/>
          <w:iCs/>
        </w:rPr>
        <w:t>espellere, cancellare, dichiarare inammissibile qualcosa che è appartenuto alla propria storia</w:t>
      </w:r>
      <w:r>
        <w:t xml:space="preserve">. L’Italia ha ripudiato la guerra come strumento, ammettendo solo la legittima difesa. </w:t>
      </w:r>
    </w:p>
    <w:p w14:paraId="5A659B3F" w14:textId="01FF2C75" w:rsidR="007F2150" w:rsidRDefault="007F2150" w:rsidP="007F2150">
      <w:r>
        <w:t>Gianelli nota come il linguaggio definisca la realtà: se gli Stati Uniti hanno trasformato il “Dipartimento della Guerra” in “Dipartimento della Difesa” (e oggi tornano a logiche di aggressione preventiva), le parole ci mostrano come il concetto di guerra sia stato sdoganato anche nelle democrazie occidentali.</w:t>
      </w:r>
    </w:p>
    <w:p w14:paraId="65D4AAD3" w14:textId="7382B669" w:rsidR="007F2150" w:rsidRDefault="007F2150" w:rsidP="007F2150">
      <w:pPr>
        <w:pStyle w:val="Titolo1"/>
      </w:pPr>
      <w:r>
        <w:t>2. La Legge come tutela dei deboli: dalla natura alla storia</w:t>
      </w:r>
    </w:p>
    <w:p w14:paraId="2AAA42BC" w14:textId="68F6D400" w:rsidR="007F2150" w:rsidRDefault="007F2150" w:rsidP="007F2150">
      <w:r>
        <w:t xml:space="preserve">Per comprendere il diritto internazionale, Gianelli ne analizza l’etimologia e la funzione. La legge non è la “legge di natura” (dove il leone mangia la gazzella), ma un’invenzione umana per alterare l’ordine naturale. Citando il giurista Norberto Bobbio, Gianelli ricorda che </w:t>
      </w:r>
      <w:r w:rsidRPr="00AC7ED0">
        <w:rPr>
          <w:b/>
          <w:bCs/>
        </w:rPr>
        <w:t>la legge non tutela tutti: è la forza del debole contro il prepotere del forte</w:t>
      </w:r>
      <w:r>
        <w:t>. Senza leggi, varrebbe la legge del più forte; con le leggi, anche il più debole può dormire sonni tranquilli.</w:t>
      </w:r>
    </w:p>
    <w:p w14:paraId="7EEEFFC6" w14:textId="77777777" w:rsidR="007F2150" w:rsidRDefault="007F2150" w:rsidP="007F2150">
      <w:r>
        <w:t xml:space="preserve">Questa dinamica, valida per i singoli cittadini, è stata storicamente negata nei rapporti tra Stati. </w:t>
      </w:r>
    </w:p>
    <w:p w14:paraId="31D7465E" w14:textId="208CB17B" w:rsidR="007F2150" w:rsidRDefault="007F2150" w:rsidP="007F2150">
      <w:r w:rsidRPr="00AC7ED0">
        <w:rPr>
          <w:b/>
          <w:bCs/>
        </w:rPr>
        <w:t xml:space="preserve">La </w:t>
      </w:r>
      <w:r w:rsidR="00AC7ED0">
        <w:rPr>
          <w:b/>
          <w:bCs/>
        </w:rPr>
        <w:t>p</w:t>
      </w:r>
      <w:r w:rsidRPr="00AC7ED0">
        <w:rPr>
          <w:b/>
          <w:bCs/>
        </w:rPr>
        <w:t>ace di Westfalia (1648)</w:t>
      </w:r>
      <w:r>
        <w:t>: Alla fine della Guerra dei Trent’anni, si afferma il concetto di Stato sovrano. Tuttavia, il diritto e la “civiltà” venivano riconosciuti solo tra europei. Fuori dall’Europa (in Africa, nelle Americhe) vigeva la legge del più forte: i popoli indigeni e africani non erano considerati “simili”, ma risorse da conquistare, schiavizzare e sterminare.</w:t>
      </w:r>
    </w:p>
    <w:p w14:paraId="2AB34C4E" w14:textId="674FD754" w:rsidR="007F2150" w:rsidRDefault="007F2150" w:rsidP="007F2150">
      <w:r w:rsidRPr="00AC7ED0">
        <w:rPr>
          <w:b/>
          <w:bCs/>
        </w:rPr>
        <w:t xml:space="preserve">L’etimologia della </w:t>
      </w:r>
      <w:r w:rsidR="00AC7ED0">
        <w:rPr>
          <w:b/>
          <w:bCs/>
        </w:rPr>
        <w:t>p</w:t>
      </w:r>
      <w:r w:rsidRPr="00AC7ED0">
        <w:rPr>
          <w:b/>
          <w:bCs/>
        </w:rPr>
        <w:t>ace</w:t>
      </w:r>
      <w:r>
        <w:t>:</w:t>
      </w:r>
      <w:r w:rsidR="00AC7ED0">
        <w:t xml:space="preserve"> </w:t>
      </w:r>
      <w:r>
        <w:t xml:space="preserve">Gianelli smonta il mito della pace nell’antichità. A Roma, la </w:t>
      </w:r>
      <w:r w:rsidRPr="00AC7ED0">
        <w:rPr>
          <w:i/>
          <w:iCs/>
        </w:rPr>
        <w:t>Pax</w:t>
      </w:r>
      <w:r w:rsidR="00AC7ED0">
        <w:t xml:space="preserve"> </w:t>
      </w:r>
      <w:r>
        <w:t>(da</w:t>
      </w:r>
      <w:r w:rsidR="00AC7ED0">
        <w:t xml:space="preserve"> </w:t>
      </w:r>
      <w:r w:rsidRPr="00AC7ED0">
        <w:rPr>
          <w:i/>
          <w:iCs/>
        </w:rPr>
        <w:t>pago/pactum</w:t>
      </w:r>
      <w:r>
        <w:t xml:space="preserve">) era un patto di sottomissione del nemico. Il Tempio di Giano, che doveva chiudersi </w:t>
      </w:r>
      <w:r>
        <w:lastRenderedPageBreak/>
        <w:t>in tempo di pace, rimase aperto per quasi tutta la storia romana (chiuso solo 3 o 5 volte in secoli di guerre continue). La “pace” romana era il deserto creato dopo aver sterminato i Galli.</w:t>
      </w:r>
    </w:p>
    <w:p w14:paraId="3B83231A" w14:textId="4C3F985C" w:rsidR="007F2150" w:rsidRDefault="007F2150" w:rsidP="007F2150">
      <w:r w:rsidRPr="00AC7ED0">
        <w:rPr>
          <w:b/>
          <w:bCs/>
        </w:rPr>
        <w:t xml:space="preserve">I </w:t>
      </w:r>
      <w:r w:rsidR="00AC7ED0">
        <w:rPr>
          <w:b/>
          <w:bCs/>
        </w:rPr>
        <w:t>g</w:t>
      </w:r>
      <w:r w:rsidRPr="00AC7ED0">
        <w:rPr>
          <w:b/>
          <w:bCs/>
        </w:rPr>
        <w:t xml:space="preserve">reci e la </w:t>
      </w:r>
      <w:r w:rsidR="00AC7ED0">
        <w:rPr>
          <w:b/>
          <w:bCs/>
        </w:rPr>
        <w:t>g</w:t>
      </w:r>
      <w:r w:rsidRPr="00AC7ED0">
        <w:rPr>
          <w:b/>
          <w:bCs/>
        </w:rPr>
        <w:t>iustizia</w:t>
      </w:r>
      <w:r>
        <w:t xml:space="preserve">: In greco la pace è </w:t>
      </w:r>
      <w:r w:rsidRPr="00AC7ED0">
        <w:rPr>
          <w:i/>
          <w:iCs/>
        </w:rPr>
        <w:t>Eirene</w:t>
      </w:r>
      <w:r>
        <w:t xml:space="preserve"> (tregua tra due guerre). Ma la mitologia greca ci offre una chiave di lettura fondamentale: Eirene è figlia di Themis (la Giustizia). </w:t>
      </w:r>
      <w:r w:rsidRPr="00AC7ED0">
        <w:rPr>
          <w:b/>
          <w:bCs/>
        </w:rPr>
        <w:t>Non esiste pace senza giustizia</w:t>
      </w:r>
      <w:r>
        <w:t>. Una pace basata sull’ingiustizia e sull’occupazione (come l’attuale situazione in Palestina) non è pace, ma sottomissione che genera inevitabilmente ribellione.</w:t>
      </w:r>
    </w:p>
    <w:p w14:paraId="1648C9B1" w14:textId="3452F32B" w:rsidR="007F2150" w:rsidRDefault="007F2150" w:rsidP="007F2150">
      <w:pPr>
        <w:pStyle w:val="Titolo1"/>
      </w:pPr>
      <w:r>
        <w:t>3. La svolta del 1945 e la crisi attuale del Diritto Internazionale</w:t>
      </w:r>
    </w:p>
    <w:p w14:paraId="016E4A2B" w14:textId="47DF6386" w:rsidR="007F2150" w:rsidRDefault="007F2150" w:rsidP="007F2150">
      <w:r>
        <w:t xml:space="preserve">Il vero salto di civiltà avviene nel 1945 con la Carta dell’ONU e successivamente con la </w:t>
      </w:r>
      <w:r w:rsidRPr="00AC7ED0">
        <w:rPr>
          <w:b/>
          <w:bCs/>
        </w:rPr>
        <w:t>Dichiarazione Universale dei Diritti dell’Uomo (10 dicembre 1948)</w:t>
      </w:r>
      <w:r>
        <w:t xml:space="preserve"> e la </w:t>
      </w:r>
      <w:r w:rsidRPr="00AC7ED0">
        <w:rPr>
          <w:b/>
          <w:bCs/>
        </w:rPr>
        <w:t>Convenzione contro il Genocidio (9 dicembre 1948)</w:t>
      </w:r>
      <w:r>
        <w:t>. Per la prima volta nella storia, gli Stati rinunciano all’uso della forza (Art. 2 della Carta ONU), accettando che le contese si risolvano con il diritto e non con le armi. Il genocidio non è più un crimine contro il singolo popolo, ma un crimine contro l’umanità intera.</w:t>
      </w:r>
    </w:p>
    <w:p w14:paraId="0D04A181" w14:textId="2B8F3DC1" w:rsidR="007F2150" w:rsidRDefault="007F2150" w:rsidP="007F2150">
      <w:r>
        <w:t xml:space="preserve">Oggi, però, questo paradigma è sotto attacco. I più forti (in primis gli Stati Uniti e i loro alleati) vogliono avere le “mani libere” per bombardare, invadere e sanzionare chi vogliono, tornando alla legge della giungla. </w:t>
      </w:r>
    </w:p>
    <w:p w14:paraId="05B497ED" w14:textId="675A18AC" w:rsidR="007F2150" w:rsidRDefault="007F2150" w:rsidP="007F2150">
      <w:r>
        <w:t>Gianelli denuncia l’ipocrisia dell’Occidente e il concetto distorto di “democrazia”. Se un genocidio o un crimine di guerra viene commesso da una dittatura, il popolo prima o poi si ribellerà. Ma se un crimine contro l’umanità viene commesso da una democrazia, e il popolo elegge e sostiene chi lo compie, la responsabilità ricade sull’intero popolo. L’alibi della democrazia non può assolvere dai crimini internazionali; anzi, li aggrava.</w:t>
      </w:r>
    </w:p>
    <w:p w14:paraId="1A220E12" w14:textId="0D687228" w:rsidR="007F2150" w:rsidRDefault="007F2150" w:rsidP="007F2150">
      <w:pPr>
        <w:pStyle w:val="Titolo1"/>
      </w:pPr>
      <w:r>
        <w:t xml:space="preserve">4. L’ONU, il </w:t>
      </w:r>
      <w:r w:rsidR="00AC7ED0">
        <w:t>d</w:t>
      </w:r>
      <w:r>
        <w:t xml:space="preserve">iritto di </w:t>
      </w:r>
      <w:r w:rsidR="00AC7ED0">
        <w:t>v</w:t>
      </w:r>
      <w:r>
        <w:t>eto e le colpe dell’Occidente</w:t>
      </w:r>
    </w:p>
    <w:p w14:paraId="278280AA" w14:textId="713114B5" w:rsidR="007F2150" w:rsidRDefault="007F2150" w:rsidP="007F2150">
      <w:r>
        <w:t xml:space="preserve">Alla domanda sul perché l’ONU non intervenga contro le violazioni della sua stessa Carta da parte delle superpotenze, Gianelli spiega il meccanismo del </w:t>
      </w:r>
      <w:r w:rsidRPr="00AC7ED0">
        <w:rPr>
          <w:i/>
          <w:iCs/>
        </w:rPr>
        <w:t>Consiglio di Sicurezza</w:t>
      </w:r>
      <w:r>
        <w:t>. Le 5 potenze vincitrici della Seconda Guerra Mondiale (USA, Russia, Cina, Francia, Regno Unito) hanno il diritto di veto, un privilegio antidemocratico ma storicamente radicato.</w:t>
      </w:r>
    </w:p>
    <w:p w14:paraId="00E0853D" w14:textId="7ADA8F54" w:rsidR="007F2150" w:rsidRDefault="007F2150" w:rsidP="007F2150">
      <w:r>
        <w:t xml:space="preserve">Tuttavia, il vero problema non è solo il veto, ma la complicità dell’Occidente. Gianelli fa l’esempio dell’invasione dell’Iraq del 2003: gli USA violarono palesemente la Carta ONU, ma l’Europa (Italia, Francia, Germania, Spagna) scelse di seguire il “bullo” per paura o per convenienza, invece di opporsi compattata. </w:t>
      </w:r>
    </w:p>
    <w:p w14:paraId="40643440" w14:textId="3E6451F1" w:rsidR="007F2150" w:rsidRDefault="007F2150" w:rsidP="007F2150">
      <w:r>
        <w:t xml:space="preserve">Oggi l’Occidente si indigna per le azioni di Russia o Cina, ma si è “auto-squalificato” avendo avallato in passato invasioni illegali (Afghanistan, Iraq, Libia) e continuando a fornire armi e copertura politica a crimini in Medio Oriente. Gianelli cita la frase di un generale britannico sconfitto: </w:t>
      </w:r>
      <w:r w:rsidRPr="00AC7ED0">
        <w:rPr>
          <w:i/>
          <w:iCs/>
        </w:rPr>
        <w:t>«Avete fatto il deserto e lo avete chiamato pace»</w:t>
      </w:r>
      <w:r>
        <w:t>. L’Occidente ha perso la sua anima e la sua autorità morale, tornando a considerare i popoli non occidentali come “inferiori” o “non simili”.</w:t>
      </w:r>
    </w:p>
    <w:p w14:paraId="1BB7F460" w14:textId="35D8F988" w:rsidR="007F2150" w:rsidRDefault="007F2150" w:rsidP="007F2150">
      <w:pPr>
        <w:pStyle w:val="Titolo1"/>
      </w:pPr>
      <w:r>
        <w:t>5. La Corte Penale Internazionale (CPI) e le Sanzioni Extraterritoriali (OFAC)</w:t>
      </w:r>
    </w:p>
    <w:p w14:paraId="17CAC03E" w14:textId="7EBD3D24" w:rsidR="007F2150" w:rsidRDefault="007F2150" w:rsidP="007F2150">
      <w:r>
        <w:t>Un tema centrale dell’intervento è la Corte Penale Internazionale, nata a Roma nel 1998. Per anni è stata criticata (anche da leader africani) perché processava solo dittatori africani. Oggi, però, la CPI sta funzionando come dovrebbe: ha emesso mandati di cattura per Putin e per i vertici israeliani.</w:t>
      </w:r>
      <w:r w:rsidR="00AC7ED0">
        <w:t xml:space="preserve"> </w:t>
      </w:r>
      <w:r>
        <w:t>Proprio per questo, gli Stati Uniti hanno scatenato una guerra giudiziaria ed economica contro la Corte e i suoi collaboratori (come la giurista Francesca Albanese).</w:t>
      </w:r>
    </w:p>
    <w:p w14:paraId="53025F6E" w14:textId="285AD3C1" w:rsidR="007F2150" w:rsidRDefault="007F2150" w:rsidP="007F2150">
      <w:r>
        <w:t>Gianelli spiega nel dettaglio come funzionano le sanzioni economiche statunitensi (OFAC - Office of Foreign Assets Control del Dipartimento del Tesoro), definendole uno strumento di tirannia globale che distrugge la sovranità degli altri Stati:</w:t>
      </w:r>
    </w:p>
    <w:p w14:paraId="1D13E970" w14:textId="3466316C" w:rsidR="007F2150" w:rsidRDefault="007F2150" w:rsidP="007F2150">
      <w:pPr>
        <w:pStyle w:val="Paragrafoelenco"/>
        <w:numPr>
          <w:ilvl w:val="0"/>
          <w:numId w:val="2"/>
        </w:numPr>
      </w:pPr>
      <w:r w:rsidRPr="00AC7ED0">
        <w:rPr>
          <w:b/>
          <w:bCs/>
        </w:rPr>
        <w:t>Il meccanismo</w:t>
      </w:r>
      <w:r>
        <w:t xml:space="preserve">: </w:t>
      </w:r>
      <w:r w:rsidR="00AC7ED0">
        <w:t>u</w:t>
      </w:r>
      <w:r>
        <w:t xml:space="preserve">no </w:t>
      </w:r>
      <w:r w:rsidR="00AC7ED0">
        <w:t>s</w:t>
      </w:r>
      <w:r>
        <w:t>tato straniero (gli USA) decide unilateralmente, senza alcun processo, senza accusa formale e senza diritto di difesa, di “sanzionare” un cittadino o un’istituzione europea.</w:t>
      </w:r>
    </w:p>
    <w:p w14:paraId="1FEF2570" w14:textId="463738A0" w:rsidR="007F2150" w:rsidRDefault="007F2150" w:rsidP="007F2150">
      <w:pPr>
        <w:pStyle w:val="Paragrafoelenco"/>
        <w:numPr>
          <w:ilvl w:val="0"/>
          <w:numId w:val="2"/>
        </w:numPr>
      </w:pPr>
      <w:r w:rsidRPr="00AC7ED0">
        <w:rPr>
          <w:b/>
          <w:bCs/>
        </w:rPr>
        <w:t>L’effetto a catena</w:t>
      </w:r>
      <w:r>
        <w:t xml:space="preserve">: </w:t>
      </w:r>
      <w:r w:rsidR="00AC7ED0">
        <w:t>l</w:t>
      </w:r>
      <w:r>
        <w:t>a persona sanzionata viene tagliata fuori dal circuito bancario globale. Non potendo usare dollari, e temendo le “sanzioni secondarie” USA, nessuna banca al mondo (nemmeno in Italia o in Europa) può aprire o mantenere un conto corrente per quel soggetto. I circuiti Visa e Mastercard vengono bloccati.</w:t>
      </w:r>
    </w:p>
    <w:p w14:paraId="347BF28F" w14:textId="3BFD0184" w:rsidR="007F2150" w:rsidRDefault="007F2150" w:rsidP="007F2150">
      <w:pPr>
        <w:pStyle w:val="Paragrafoelenco"/>
        <w:numPr>
          <w:ilvl w:val="0"/>
          <w:numId w:val="2"/>
        </w:numPr>
      </w:pPr>
      <w:r w:rsidRPr="00AC7ED0">
        <w:rPr>
          <w:b/>
          <w:bCs/>
        </w:rPr>
        <w:t>La distruzione della vita civile</w:t>
      </w:r>
      <w:r>
        <w:t xml:space="preserve">: </w:t>
      </w:r>
      <w:r w:rsidR="00AC7ED0">
        <w:t>i</w:t>
      </w:r>
      <w:r>
        <w:t>l sanzionato non può ricevere stipendi, non può pagare bollette, non può prenotare viaggi, non può ricevere diritti d’autore. È ridotto a vivere di contanti, emarginato dalla società moderna.</w:t>
      </w:r>
    </w:p>
    <w:p w14:paraId="12152C9F" w14:textId="2113AEC9" w:rsidR="007F2150" w:rsidRDefault="007F2150" w:rsidP="007F2150">
      <w:pPr>
        <w:pStyle w:val="Paragrafoelenco"/>
        <w:numPr>
          <w:ilvl w:val="0"/>
          <w:numId w:val="2"/>
        </w:numPr>
      </w:pPr>
      <w:r w:rsidRPr="00AC7ED0">
        <w:rPr>
          <w:b/>
          <w:bCs/>
        </w:rPr>
        <w:t>La violazione della sovranità</w:t>
      </w:r>
      <w:r>
        <w:t>: Gianelli sottolinea l’assurdità giuridica e politica di questa situazione: la Repubblica Italiana (e l’Europa) permettono che un ministro del Tesoro USA possa confiscare di fatto i risparmi e la vita economica di un cittadino europeo, scavalcando la magistratura e il governo italiano.</w:t>
      </w:r>
    </w:p>
    <w:p w14:paraId="0CF63C06" w14:textId="0231F645" w:rsidR="007F2150" w:rsidRDefault="007F2150" w:rsidP="007F2150">
      <w:pPr>
        <w:pStyle w:val="Titolo1"/>
      </w:pPr>
      <w:r>
        <w:t>6. La Soluzione Giuridica: Il “</w:t>
      </w:r>
      <w:proofErr w:type="spellStart"/>
      <w:r>
        <w:t>Blocking</w:t>
      </w:r>
      <w:proofErr w:type="spellEnd"/>
      <w:r>
        <w:t xml:space="preserve"> </w:t>
      </w:r>
      <w:proofErr w:type="spellStart"/>
      <w:r>
        <w:t>Statute</w:t>
      </w:r>
      <w:proofErr w:type="spellEnd"/>
      <w:r>
        <w:t>” dell’Unione Europea</w:t>
      </w:r>
    </w:p>
    <w:p w14:paraId="5D69668E" w14:textId="3BA62A44" w:rsidR="007F2150" w:rsidRDefault="007F2150" w:rsidP="007F2150">
      <w:r>
        <w:t xml:space="preserve">Di fronte a questo ricatto, l’Europa non è priva di strumenti, ma manca la volontà politica. Gianelli porta i dati di una soluzione concreta già esistente: il Regolamento UE n. 2271/96, noto come </w:t>
      </w:r>
      <w:r w:rsidRPr="00AC7ED0">
        <w:rPr>
          <w:b/>
          <w:bCs/>
        </w:rPr>
        <w:t>“</w:t>
      </w:r>
      <w:proofErr w:type="spellStart"/>
      <w:r w:rsidRPr="00AC7ED0">
        <w:rPr>
          <w:b/>
          <w:bCs/>
        </w:rPr>
        <w:t>Blocking</w:t>
      </w:r>
      <w:proofErr w:type="spellEnd"/>
      <w:r w:rsidRPr="00AC7ED0">
        <w:rPr>
          <w:b/>
          <w:bCs/>
        </w:rPr>
        <w:t xml:space="preserve"> </w:t>
      </w:r>
      <w:proofErr w:type="spellStart"/>
      <w:r w:rsidRPr="00AC7ED0">
        <w:rPr>
          <w:b/>
          <w:bCs/>
        </w:rPr>
        <w:t>Statute</w:t>
      </w:r>
      <w:proofErr w:type="spellEnd"/>
      <w:r w:rsidRPr="00AC7ED0">
        <w:rPr>
          <w:b/>
          <w:bCs/>
        </w:rPr>
        <w:t>”</w:t>
      </w:r>
      <w:r>
        <w:t>.</w:t>
      </w:r>
    </w:p>
    <w:p w14:paraId="2F902E27" w14:textId="26EE9536" w:rsidR="007F2150" w:rsidRDefault="007F2150" w:rsidP="007F2150">
      <w:r>
        <w:t>Questo statuto fu creato dall’Unione Europea nel 1996 proprio per neutralizzare le sanzioni extraterritoriali USA. Prevede che le sanzioni straniere non abbiano efficacia sul territorio europeo e vieta ai cittadini UE di conformarvisi.</w:t>
      </w:r>
    </w:p>
    <w:p w14:paraId="49475C78" w14:textId="5B7C5D2A" w:rsidR="007F2150" w:rsidRDefault="007F2150" w:rsidP="007F2150">
      <w:r>
        <w:t>Attualmente il Regolamento ha degli “allegati” che elencano le leggi sanzionatorie straniere da bloccare:</w:t>
      </w:r>
    </w:p>
    <w:p w14:paraId="51B33A50" w14:textId="041B6B4C" w:rsidR="007F2150" w:rsidRDefault="007F2150" w:rsidP="007F2150">
      <w:pPr>
        <w:pStyle w:val="Paragrafoelenco"/>
        <w:numPr>
          <w:ilvl w:val="0"/>
          <w:numId w:val="4"/>
        </w:numPr>
      </w:pPr>
      <w:r>
        <w:t>1° Allegato: Sanzioni USA contro Cuba.</w:t>
      </w:r>
    </w:p>
    <w:p w14:paraId="63D0FD48" w14:textId="618587D1" w:rsidR="007F2150" w:rsidRDefault="007F2150" w:rsidP="007F2150">
      <w:pPr>
        <w:pStyle w:val="Paragrafoelenco"/>
        <w:numPr>
          <w:ilvl w:val="0"/>
          <w:numId w:val="4"/>
        </w:numPr>
      </w:pPr>
      <w:r>
        <w:t>2° Allegato: Sanzioni USA contro l’Iran.</w:t>
      </w:r>
    </w:p>
    <w:p w14:paraId="63919469" w14:textId="7C78A9FE" w:rsidR="007F2150" w:rsidRDefault="007F2150" w:rsidP="007F2150">
      <w:pPr>
        <w:pStyle w:val="Paragrafoelenco"/>
        <w:numPr>
          <w:ilvl w:val="0"/>
          <w:numId w:val="4"/>
        </w:numPr>
      </w:pPr>
      <w:r>
        <w:t>3° Allegato: Sanzioni relative alla Libia.</w:t>
      </w:r>
    </w:p>
    <w:p w14:paraId="4AB07744" w14:textId="2E04BC72" w:rsidR="007F2150" w:rsidRDefault="007F2150" w:rsidP="007F2150">
      <w:r>
        <w:t xml:space="preserve">Gianelli, insieme ad altri giuristi, ha proposto e richiesto l’aggiunta di un </w:t>
      </w:r>
      <w:proofErr w:type="gramStart"/>
      <w:r>
        <w:t>4°</w:t>
      </w:r>
      <w:proofErr w:type="gramEnd"/>
      <w:r>
        <w:t xml:space="preserve"> Allegato che includa le sanzioni USA contro la Corte Penale Internazionale, i suoi giudici e i relatori ONU (come Francesca Albanese). </w:t>
      </w:r>
    </w:p>
    <w:p w14:paraId="6EDC38A7" w14:textId="76414C3C" w:rsidR="007F2150" w:rsidRDefault="007F2150" w:rsidP="007F2150">
      <w:r>
        <w:t xml:space="preserve">Recentemente, 58 europarlamentari hanno presentato un’interrogazione alla Commissione Europea chiedendo l’attivazione di questo strumento. Se l’Europa applicasse il </w:t>
      </w:r>
      <w:proofErr w:type="spellStart"/>
      <w:r>
        <w:t>Blocking</w:t>
      </w:r>
      <w:proofErr w:type="spellEnd"/>
      <w:r>
        <w:t xml:space="preserve"> </w:t>
      </w:r>
      <w:proofErr w:type="spellStart"/>
      <w:r>
        <w:t>Statute</w:t>
      </w:r>
      <w:proofErr w:type="spellEnd"/>
      <w:r>
        <w:t>, le sanzioni USA perderebbero efficacia sul territorio UE, le banche europee potrebbero continuare a operare con i sanzionati e l’Europa tornerebbe ad essere un soggetto sovrano e non un vassallo.</w:t>
      </w:r>
    </w:p>
    <w:p w14:paraId="0284A0F8" w14:textId="3BF31B60" w:rsidR="007F2150" w:rsidRDefault="007F2150" w:rsidP="007F2150">
      <w:pPr>
        <w:pStyle w:val="Titolo1"/>
      </w:pPr>
      <w:r>
        <w:t>7. La responsabilità individuale, l’Empatia e l’Educazione</w:t>
      </w:r>
    </w:p>
    <w:p w14:paraId="35200C2E" w14:textId="77777777" w:rsidR="007F2150" w:rsidRDefault="007F2150" w:rsidP="007F2150">
      <w:r>
        <w:t>Concludendo, Gianelli sposta il focus dalle istituzioni alla responsabilità del singolo cittadino e della comunità.</w:t>
      </w:r>
    </w:p>
    <w:p w14:paraId="2980227F" w14:textId="2FFD935E" w:rsidR="007F2150" w:rsidRDefault="007F2150" w:rsidP="007F2150">
      <w:r w:rsidRPr="00AC7ED0">
        <w:rPr>
          <w:b/>
          <w:bCs/>
        </w:rPr>
        <w:t>La forza dal basso</w:t>
      </w:r>
      <w:r>
        <w:t xml:space="preserve"> (</w:t>
      </w:r>
      <w:r w:rsidR="00AC7ED0">
        <w:t>l</w:t>
      </w:r>
      <w:r>
        <w:t xml:space="preserve">’esempio del Sudafrica): </w:t>
      </w:r>
      <w:r w:rsidR="00AC7ED0">
        <w:t>i</w:t>
      </w:r>
      <w:r>
        <w:t xml:space="preserve">l regime di Apartheid in Sudafrica non è crollato solo per pressione degli Stati, ma per il </w:t>
      </w:r>
      <w:r w:rsidRPr="00AC7ED0">
        <w:rPr>
          <w:b/>
          <w:bCs/>
          <w:i/>
          <w:iCs/>
        </w:rPr>
        <w:t>boicottaggio dal basso</w:t>
      </w:r>
      <w:r>
        <w:t>. Cittadini, artisti e consumatori in tutto il mondo hanno rifiutato di comprare prodotti sudafricani o di esibirsi a Sun City, dimostrando che l’opinione pubblica internazionale, se consapevole, può imporre il rispetto del diritto.</w:t>
      </w:r>
    </w:p>
    <w:p w14:paraId="33B82E31" w14:textId="2C186498" w:rsidR="007F2150" w:rsidRDefault="007F2150" w:rsidP="007F2150">
      <w:r w:rsidRPr="00AC7ED0">
        <w:rPr>
          <w:b/>
          <w:bCs/>
        </w:rPr>
        <w:t>L’etimologia di “Idiota”</w:t>
      </w:r>
      <w:r>
        <w:t xml:space="preserve">: </w:t>
      </w:r>
      <w:r w:rsidR="00AC7ED0">
        <w:t>n</w:t>
      </w:r>
      <w:r>
        <w:t>ella Grecia antica, “idiota” (</w:t>
      </w:r>
      <w:proofErr w:type="spellStart"/>
      <w:r>
        <w:t>ιδιώτης</w:t>
      </w:r>
      <w:proofErr w:type="spellEnd"/>
      <w:r>
        <w:t xml:space="preserve">) non era l’offeso o lo stupido, ma </w:t>
      </w:r>
      <w:r w:rsidRPr="00AC7ED0">
        <w:rPr>
          <w:i/>
          <w:iCs/>
        </w:rPr>
        <w:t>colui che si disinteressava della Polis, della cosa pubblica</w:t>
      </w:r>
      <w:r>
        <w:t>. Oggi siamo tutti “idioti” se ci chiudiamo nel nostro privato ignorando le ingiustizie globali.</w:t>
      </w:r>
    </w:p>
    <w:p w14:paraId="3BD0CF4A" w14:textId="6FFF60BF" w:rsidR="007F2150" w:rsidRDefault="007F2150" w:rsidP="007F2150">
      <w:r w:rsidRPr="00AC7ED0">
        <w:rPr>
          <w:b/>
          <w:bCs/>
        </w:rPr>
        <w:t>L’Empatia come fondamento del Diritto</w:t>
      </w:r>
      <w:r>
        <w:t xml:space="preserve">: </w:t>
      </w:r>
      <w:r w:rsidR="00AC7ED0">
        <w:t>l</w:t>
      </w:r>
      <w:r>
        <w:t>’essere umano si distingue dagli animali per l’empatia: se un gatto si fa male, l’altro gatto non reagisce. L’essere umano, invece, deve provare dolore e indignazione per l’ingiustizia subita da un altro, anche se lontano e di un’altra “tribù”. Il diritto internazionale è la traduzione istituzionale di questa empatia.</w:t>
      </w:r>
    </w:p>
    <w:p w14:paraId="54AD1A48" w14:textId="65BEFE33" w:rsidR="007F2150" w:rsidRDefault="007F2150" w:rsidP="007F2150">
      <w:r w:rsidRPr="00AC7ED0">
        <w:rPr>
          <w:b/>
          <w:bCs/>
        </w:rPr>
        <w:t xml:space="preserve">Il ruolo della </w:t>
      </w:r>
      <w:r w:rsidR="00AC7ED0">
        <w:rPr>
          <w:b/>
          <w:bCs/>
        </w:rPr>
        <w:t>s</w:t>
      </w:r>
      <w:r w:rsidRPr="00AC7ED0">
        <w:rPr>
          <w:b/>
          <w:bCs/>
        </w:rPr>
        <w:t>cuola e la sfida alle nuove generazioni</w:t>
      </w:r>
      <w:r>
        <w:t>: Gianelli lancia un appello all’educazione. La società odierna insegna l’utilitarismo, l’egoismo e la ricerca del profitto. La scuola dovrebbe avere il coraggio di insegnare il diritto internazionale come “preghiera laica”, come fede in un ideale di giustizia. Bisogna insegnare ai giovani il coraggio di combattere battaglie giuste anche quando sembrano perse in partenza, perché la storia cambia grazie a chi non si piega al realismo del “diritto del più forte”.</w:t>
      </w:r>
    </w:p>
    <w:p w14:paraId="3AFFD110" w14:textId="07A8431B" w:rsidR="004362CF" w:rsidRDefault="004362CF" w:rsidP="007F2150">
      <w:r w:rsidRPr="004362CF">
        <w:rPr>
          <w:b/>
          <w:bCs/>
        </w:rPr>
        <w:t>La responsabilità di ciascuno</w:t>
      </w:r>
      <w:r>
        <w:t>: l</w:t>
      </w:r>
      <w:r w:rsidRPr="004362CF">
        <w:t>a partecipazione democratica dispone di strumenti strutturati come le Iniziative dei Cittadini Europei (ECI): ogni cittadino può firmare e promuovere petizioni per la discussione al Parlamento europeo, rendendo concreta la responsabilità popolare nella tutela dei diritti.</w:t>
      </w:r>
    </w:p>
    <w:p w14:paraId="4EF0C003" w14:textId="53EC806C" w:rsidR="00FE2045" w:rsidRDefault="004362CF" w:rsidP="007F2150">
      <w:r>
        <w:t>D</w:t>
      </w:r>
      <w:r w:rsidRPr="004362CF">
        <w:t>ifendere il diritto internazionale è compito di ciascuno, perché è la traduzione terrena della giustizia; senza giustizia, la pace è solo sottomissione. L’empatia verso i torti subiti da altri è la radice che alimenta una comunità internazionale di diritto, capace di resistere alla regressione verso la legge del più forte.</w:t>
      </w:r>
    </w:p>
    <w:sectPr w:rsidR="00FE204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ndara">
    <w:panose1 w:val="020E0502030303020204"/>
    <w:charset w:val="00"/>
    <w:family w:val="swiss"/>
    <w:pitch w:val="variable"/>
    <w:sig w:usb0="A00002EF" w:usb1="4000A44B"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12857"/>
    <w:multiLevelType w:val="hybridMultilevel"/>
    <w:tmpl w:val="70DE5EE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E646366"/>
    <w:multiLevelType w:val="hybridMultilevel"/>
    <w:tmpl w:val="162E23D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65DB624D"/>
    <w:multiLevelType w:val="hybridMultilevel"/>
    <w:tmpl w:val="E376E8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7823174"/>
    <w:multiLevelType w:val="hybridMultilevel"/>
    <w:tmpl w:val="A91E4E02"/>
    <w:lvl w:ilvl="0" w:tplc="542EC9FE">
      <w:start w:val="4"/>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982614160">
    <w:abstractNumId w:val="1"/>
  </w:num>
  <w:num w:numId="2" w16cid:durableId="899708566">
    <w:abstractNumId w:val="0"/>
  </w:num>
  <w:num w:numId="3" w16cid:durableId="758064539">
    <w:abstractNumId w:val="2"/>
  </w:num>
  <w:num w:numId="4" w16cid:durableId="2726379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150"/>
    <w:rsid w:val="00131B20"/>
    <w:rsid w:val="001A7870"/>
    <w:rsid w:val="00271878"/>
    <w:rsid w:val="002853ED"/>
    <w:rsid w:val="003B45AD"/>
    <w:rsid w:val="004362CF"/>
    <w:rsid w:val="004523F3"/>
    <w:rsid w:val="004D76F2"/>
    <w:rsid w:val="005C3E9B"/>
    <w:rsid w:val="00682797"/>
    <w:rsid w:val="00725FD5"/>
    <w:rsid w:val="007F2150"/>
    <w:rsid w:val="00881EFD"/>
    <w:rsid w:val="00A34B5E"/>
    <w:rsid w:val="00AC7ED0"/>
    <w:rsid w:val="00B02727"/>
    <w:rsid w:val="00B66380"/>
    <w:rsid w:val="00C353BD"/>
    <w:rsid w:val="00FE204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AAA2F"/>
  <w15:chartTrackingRefBased/>
  <w15:docId w15:val="{6F194CCC-44B7-4619-9110-9A287E8D3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F2150"/>
    <w:pPr>
      <w:spacing w:after="120" w:line="264" w:lineRule="auto"/>
      <w:jc w:val="both"/>
    </w:pPr>
    <w:rPr>
      <w:rFonts w:ascii="Candara" w:hAnsi="Candara"/>
      <w:sz w:val="24"/>
    </w:rPr>
  </w:style>
  <w:style w:type="paragraph" w:styleId="Titolo1">
    <w:name w:val="heading 1"/>
    <w:basedOn w:val="Normale"/>
    <w:next w:val="Normale"/>
    <w:link w:val="Titolo1Carattere"/>
    <w:uiPriority w:val="9"/>
    <w:qFormat/>
    <w:rsid w:val="007F2150"/>
    <w:pPr>
      <w:keepNext/>
      <w:keepLines/>
      <w:spacing w:before="480" w:after="80"/>
      <w:outlineLvl w:val="0"/>
    </w:pPr>
    <w:rPr>
      <w:rFonts w:asciiTheme="majorHAnsi" w:eastAsiaTheme="majorEastAsia" w:hAnsiTheme="majorHAnsi" w:cstheme="majorBidi"/>
      <w:b/>
      <w:bCs/>
      <w:sz w:val="32"/>
      <w:szCs w:val="32"/>
    </w:rPr>
  </w:style>
  <w:style w:type="paragraph" w:styleId="Titolo2">
    <w:name w:val="heading 2"/>
    <w:basedOn w:val="Normale"/>
    <w:next w:val="Normale"/>
    <w:link w:val="Titolo2Carattere"/>
    <w:uiPriority w:val="9"/>
    <w:semiHidden/>
    <w:unhideWhenUsed/>
    <w:qFormat/>
    <w:rsid w:val="007F21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7F215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7F215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7F2150"/>
    <w:pPr>
      <w:keepNext/>
      <w:keepLines/>
      <w:spacing w:before="80" w:after="40"/>
      <w:outlineLvl w:val="4"/>
    </w:pPr>
    <w:rPr>
      <w:rFonts w:asciiTheme="minorHAnsi" w:eastAsiaTheme="majorEastAsia" w:hAnsiTheme="minorHAnsi" w:cstheme="majorBidi"/>
      <w:color w:val="0F4761" w:themeColor="accent1" w:themeShade="BF"/>
    </w:rPr>
  </w:style>
  <w:style w:type="paragraph" w:styleId="Titolo6">
    <w:name w:val="heading 6"/>
    <w:basedOn w:val="Normale"/>
    <w:next w:val="Normale"/>
    <w:link w:val="Titolo6Carattere"/>
    <w:uiPriority w:val="9"/>
    <w:semiHidden/>
    <w:unhideWhenUsed/>
    <w:qFormat/>
    <w:rsid w:val="007F2150"/>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olo7">
    <w:name w:val="heading 7"/>
    <w:basedOn w:val="Normale"/>
    <w:next w:val="Normale"/>
    <w:link w:val="Titolo7Carattere"/>
    <w:uiPriority w:val="9"/>
    <w:semiHidden/>
    <w:unhideWhenUsed/>
    <w:qFormat/>
    <w:rsid w:val="007F2150"/>
    <w:pPr>
      <w:keepNext/>
      <w:keepLines/>
      <w:spacing w:before="40" w:after="0"/>
      <w:outlineLvl w:val="6"/>
    </w:pPr>
    <w:rPr>
      <w:rFonts w:asciiTheme="minorHAnsi" w:eastAsiaTheme="majorEastAsia" w:hAnsiTheme="minorHAnsi" w:cstheme="majorBidi"/>
      <w:color w:val="595959" w:themeColor="text1" w:themeTint="A6"/>
    </w:rPr>
  </w:style>
  <w:style w:type="paragraph" w:styleId="Titolo8">
    <w:name w:val="heading 8"/>
    <w:basedOn w:val="Normale"/>
    <w:next w:val="Normale"/>
    <w:link w:val="Titolo8Carattere"/>
    <w:uiPriority w:val="9"/>
    <w:semiHidden/>
    <w:unhideWhenUsed/>
    <w:qFormat/>
    <w:rsid w:val="007F2150"/>
    <w:pPr>
      <w:keepNext/>
      <w:keepLines/>
      <w:spacing w:after="0"/>
      <w:outlineLvl w:val="7"/>
    </w:pPr>
    <w:rPr>
      <w:rFonts w:asciiTheme="minorHAnsi" w:eastAsiaTheme="majorEastAsia" w:hAnsiTheme="minorHAnsi" w:cstheme="majorBidi"/>
      <w:i/>
      <w:iCs/>
      <w:color w:val="272727" w:themeColor="text1" w:themeTint="D8"/>
    </w:rPr>
  </w:style>
  <w:style w:type="paragraph" w:styleId="Titolo9">
    <w:name w:val="heading 9"/>
    <w:basedOn w:val="Normale"/>
    <w:next w:val="Normale"/>
    <w:link w:val="Titolo9Carattere"/>
    <w:uiPriority w:val="9"/>
    <w:semiHidden/>
    <w:unhideWhenUsed/>
    <w:qFormat/>
    <w:rsid w:val="007F2150"/>
    <w:pPr>
      <w:keepNext/>
      <w:keepLines/>
      <w:spacing w:after="0"/>
      <w:outlineLvl w:val="8"/>
    </w:pPr>
    <w:rPr>
      <w:rFonts w:asciiTheme="minorHAnsi" w:eastAsiaTheme="majorEastAsia" w:hAnsiTheme="minorHAnsi"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itazione">
    <w:name w:val="Quote"/>
    <w:basedOn w:val="Normale"/>
    <w:next w:val="Normale"/>
    <w:link w:val="CitazioneCarattere"/>
    <w:uiPriority w:val="29"/>
    <w:qFormat/>
    <w:rsid w:val="004523F3"/>
    <w:pPr>
      <w:spacing w:before="160"/>
      <w:ind w:left="567"/>
      <w:contextualSpacing/>
    </w:pPr>
    <w:rPr>
      <w:i/>
      <w:iCs/>
      <w:color w:val="404040" w:themeColor="text1" w:themeTint="BF"/>
    </w:rPr>
  </w:style>
  <w:style w:type="character" w:customStyle="1" w:styleId="CitazioneCarattere">
    <w:name w:val="Citazione Carattere"/>
    <w:basedOn w:val="Carpredefinitoparagrafo"/>
    <w:link w:val="Citazione"/>
    <w:uiPriority w:val="29"/>
    <w:rsid w:val="004523F3"/>
    <w:rPr>
      <w:i/>
      <w:iCs/>
      <w:color w:val="404040" w:themeColor="text1" w:themeTint="BF"/>
    </w:rPr>
  </w:style>
  <w:style w:type="character" w:customStyle="1" w:styleId="Titolo1Carattere">
    <w:name w:val="Titolo 1 Carattere"/>
    <w:basedOn w:val="Carpredefinitoparagrafo"/>
    <w:link w:val="Titolo1"/>
    <w:uiPriority w:val="9"/>
    <w:rsid w:val="007F2150"/>
    <w:rPr>
      <w:rFonts w:asciiTheme="majorHAnsi" w:eastAsiaTheme="majorEastAsia" w:hAnsiTheme="majorHAnsi" w:cstheme="majorBidi"/>
      <w:b/>
      <w:bCs/>
      <w:sz w:val="32"/>
      <w:szCs w:val="32"/>
    </w:rPr>
  </w:style>
  <w:style w:type="character" w:customStyle="1" w:styleId="Titolo2Carattere">
    <w:name w:val="Titolo 2 Carattere"/>
    <w:basedOn w:val="Carpredefinitoparagrafo"/>
    <w:link w:val="Titolo2"/>
    <w:uiPriority w:val="9"/>
    <w:semiHidden/>
    <w:rsid w:val="007F2150"/>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7F2150"/>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7F2150"/>
    <w:rPr>
      <w:rFonts w:eastAsiaTheme="majorEastAsia" w:cstheme="majorBidi"/>
      <w:i/>
      <w:iCs/>
      <w:color w:val="0F4761" w:themeColor="accent1" w:themeShade="BF"/>
      <w:sz w:val="24"/>
    </w:rPr>
  </w:style>
  <w:style w:type="character" w:customStyle="1" w:styleId="Titolo5Carattere">
    <w:name w:val="Titolo 5 Carattere"/>
    <w:basedOn w:val="Carpredefinitoparagrafo"/>
    <w:link w:val="Titolo5"/>
    <w:uiPriority w:val="9"/>
    <w:semiHidden/>
    <w:rsid w:val="007F2150"/>
    <w:rPr>
      <w:rFonts w:eastAsiaTheme="majorEastAsia" w:cstheme="majorBidi"/>
      <w:color w:val="0F4761" w:themeColor="accent1" w:themeShade="BF"/>
      <w:sz w:val="24"/>
    </w:rPr>
  </w:style>
  <w:style w:type="character" w:customStyle="1" w:styleId="Titolo6Carattere">
    <w:name w:val="Titolo 6 Carattere"/>
    <w:basedOn w:val="Carpredefinitoparagrafo"/>
    <w:link w:val="Titolo6"/>
    <w:uiPriority w:val="9"/>
    <w:semiHidden/>
    <w:rsid w:val="007F2150"/>
    <w:rPr>
      <w:rFonts w:eastAsiaTheme="majorEastAsia" w:cstheme="majorBidi"/>
      <w:i/>
      <w:iCs/>
      <w:color w:val="595959" w:themeColor="text1" w:themeTint="A6"/>
      <w:sz w:val="24"/>
    </w:rPr>
  </w:style>
  <w:style w:type="character" w:customStyle="1" w:styleId="Titolo7Carattere">
    <w:name w:val="Titolo 7 Carattere"/>
    <w:basedOn w:val="Carpredefinitoparagrafo"/>
    <w:link w:val="Titolo7"/>
    <w:uiPriority w:val="9"/>
    <w:semiHidden/>
    <w:rsid w:val="007F2150"/>
    <w:rPr>
      <w:rFonts w:eastAsiaTheme="majorEastAsia" w:cstheme="majorBidi"/>
      <w:color w:val="595959" w:themeColor="text1" w:themeTint="A6"/>
      <w:sz w:val="24"/>
    </w:rPr>
  </w:style>
  <w:style w:type="character" w:customStyle="1" w:styleId="Titolo8Carattere">
    <w:name w:val="Titolo 8 Carattere"/>
    <w:basedOn w:val="Carpredefinitoparagrafo"/>
    <w:link w:val="Titolo8"/>
    <w:uiPriority w:val="9"/>
    <w:semiHidden/>
    <w:rsid w:val="007F2150"/>
    <w:rPr>
      <w:rFonts w:eastAsiaTheme="majorEastAsia" w:cstheme="majorBidi"/>
      <w:i/>
      <w:iCs/>
      <w:color w:val="272727" w:themeColor="text1" w:themeTint="D8"/>
      <w:sz w:val="24"/>
    </w:rPr>
  </w:style>
  <w:style w:type="character" w:customStyle="1" w:styleId="Titolo9Carattere">
    <w:name w:val="Titolo 9 Carattere"/>
    <w:basedOn w:val="Carpredefinitoparagrafo"/>
    <w:link w:val="Titolo9"/>
    <w:uiPriority w:val="9"/>
    <w:semiHidden/>
    <w:rsid w:val="007F2150"/>
    <w:rPr>
      <w:rFonts w:eastAsiaTheme="majorEastAsia" w:cstheme="majorBidi"/>
      <w:color w:val="272727" w:themeColor="text1" w:themeTint="D8"/>
      <w:sz w:val="24"/>
    </w:rPr>
  </w:style>
  <w:style w:type="paragraph" w:styleId="Titolo">
    <w:name w:val="Title"/>
    <w:basedOn w:val="Normale"/>
    <w:next w:val="Normale"/>
    <w:link w:val="TitoloCarattere"/>
    <w:uiPriority w:val="10"/>
    <w:qFormat/>
    <w:rsid w:val="007F2150"/>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F215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F215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F2150"/>
    <w:rPr>
      <w:rFonts w:eastAsiaTheme="majorEastAsia" w:cstheme="majorBidi"/>
      <w:color w:val="595959" w:themeColor="text1" w:themeTint="A6"/>
      <w:spacing w:val="15"/>
      <w:sz w:val="28"/>
      <w:szCs w:val="28"/>
    </w:rPr>
  </w:style>
  <w:style w:type="paragraph" w:styleId="Paragrafoelenco">
    <w:name w:val="List Paragraph"/>
    <w:basedOn w:val="Normale"/>
    <w:uiPriority w:val="34"/>
    <w:qFormat/>
    <w:rsid w:val="007F2150"/>
    <w:pPr>
      <w:ind w:left="720"/>
      <w:contextualSpacing/>
    </w:pPr>
  </w:style>
  <w:style w:type="character" w:styleId="Enfasiintensa">
    <w:name w:val="Intense Emphasis"/>
    <w:basedOn w:val="Carpredefinitoparagrafo"/>
    <w:uiPriority w:val="21"/>
    <w:qFormat/>
    <w:rsid w:val="007F2150"/>
    <w:rPr>
      <w:i/>
      <w:iCs/>
      <w:color w:val="0F4761" w:themeColor="accent1" w:themeShade="BF"/>
    </w:rPr>
  </w:style>
  <w:style w:type="paragraph" w:styleId="Citazioneintensa">
    <w:name w:val="Intense Quote"/>
    <w:basedOn w:val="Normale"/>
    <w:next w:val="Normale"/>
    <w:link w:val="CitazioneintensaCarattere"/>
    <w:uiPriority w:val="30"/>
    <w:qFormat/>
    <w:rsid w:val="007F21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7F2150"/>
    <w:rPr>
      <w:rFonts w:ascii="Candara" w:hAnsi="Candara"/>
      <w:i/>
      <w:iCs/>
      <w:color w:val="0F4761" w:themeColor="accent1" w:themeShade="BF"/>
      <w:sz w:val="24"/>
    </w:rPr>
  </w:style>
  <w:style w:type="character" w:styleId="Riferimentointenso">
    <w:name w:val="Intense Reference"/>
    <w:basedOn w:val="Carpredefinitoparagrafo"/>
    <w:uiPriority w:val="32"/>
    <w:qFormat/>
    <w:rsid w:val="007F215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1717</Words>
  <Characters>9788</Characters>
  <Application>Microsoft Office Word</Application>
  <DocSecurity>0</DocSecurity>
  <Lines>81</Lines>
  <Paragraphs>22</Paragraphs>
  <ScaleCrop>false</ScaleCrop>
  <HeadingPairs>
    <vt:vector size="4" baseType="variant">
      <vt:variant>
        <vt:lpstr>Titolo</vt:lpstr>
      </vt:variant>
      <vt:variant>
        <vt:i4>1</vt:i4>
      </vt:variant>
      <vt:variant>
        <vt:lpstr>Intestazioni</vt:lpstr>
      </vt:variant>
      <vt:variant>
        <vt:i4>7</vt:i4>
      </vt:variant>
    </vt:vector>
  </HeadingPairs>
  <TitlesOfParts>
    <vt:vector size="8" baseType="lpstr">
      <vt:lpstr/>
      <vt:lpstr>1. Le origini della Pace, il significato delle parole e l’Articolo 11</vt:lpstr>
      <vt:lpstr>2. La Legge come tutela dei deboli: dalla natura alla storia</vt:lpstr>
      <vt:lpstr>3. La svolta del 1945 e la crisi attuale del Diritto Internazionale</vt:lpstr>
      <vt:lpstr>4. L’ONU, il diritto di veto e le colpe dell’Occidente</vt:lpstr>
      <vt:lpstr>5. La Corte Penale Internazionale (CPI) e le Sanzioni Extraterritoriali (OFAC)</vt:lpstr>
      <vt:lpstr>6. La Soluzione Giuridica: Il “Blocking Statute” dell’Unione Europea</vt:lpstr>
      <vt:lpstr>7. La responsabilità individuale, l’Empatia e l’Educazione</vt:lpstr>
    </vt:vector>
  </TitlesOfParts>
  <Company/>
  <LinksUpToDate>false</LinksUpToDate>
  <CharactersWithSpaces>11483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Bonfatti</dc:creator>
  <cp:keywords/>
  <dc:description/>
  <cp:lastModifiedBy>Marco Bonfatti</cp:lastModifiedBy>
  <cp:revision>3</cp:revision>
  <dcterms:created xsi:type="dcterms:W3CDTF">2026-10-30T09:30:00Z</dcterms:created>
  <dcterms:modified xsi:type="dcterms:W3CDTF">2026-10-30T09:44:00Z</dcterms:modified>
</cp:coreProperties>
</file>